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93" w:rsidRDefault="00CF1BD5" w:rsidP="00167B93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B93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167B93" w:rsidRPr="00EB130C" w:rsidTr="001C6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167B93" w:rsidRPr="00EB130C" w:rsidRDefault="00167B93" w:rsidP="001C6C3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167B93" w:rsidRPr="00EB130C" w:rsidRDefault="00167B93" w:rsidP="001C6C32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167B93" w:rsidRPr="00EB130C" w:rsidRDefault="00167B93" w:rsidP="001C6C32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130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167B93" w:rsidRPr="00EB130C" w:rsidTr="001C6C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167B93" w:rsidRPr="00CF1BD5" w:rsidRDefault="00CF1BD5" w:rsidP="001C6C32">
            <w:pPr>
              <w:tabs>
                <w:tab w:val="left" w:pos="2765"/>
              </w:tabs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11.09.2013</w:t>
            </w:r>
          </w:p>
        </w:tc>
        <w:tc>
          <w:tcPr>
            <w:tcW w:w="2873" w:type="dxa"/>
          </w:tcPr>
          <w:p w:rsidR="00167B93" w:rsidRPr="009D0283" w:rsidRDefault="00167B93" w:rsidP="001C6C32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167B93" w:rsidRPr="00EB130C" w:rsidRDefault="00167B93" w:rsidP="001C6C3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130C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167B93" w:rsidRPr="00CF1BD5" w:rsidRDefault="00CF1BD5" w:rsidP="001C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540</w:t>
            </w:r>
          </w:p>
        </w:tc>
      </w:tr>
      <w:tr w:rsidR="00167B93" w:rsidRPr="00EB130C" w:rsidTr="001C6C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167B93" w:rsidRDefault="00167B93" w:rsidP="00365955">
            <w:pPr>
              <w:tabs>
                <w:tab w:val="left" w:pos="2765"/>
              </w:tabs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30C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365955" w:rsidRDefault="00365955" w:rsidP="001C6C3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93" w:rsidRDefault="00167B93" w:rsidP="001C6C3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14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«Развитие физической культуры и спорта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03414">
              <w:rPr>
                <w:rFonts w:ascii="Times New Roman" w:hAnsi="Times New Roman"/>
                <w:b/>
                <w:sz w:val="28"/>
                <w:szCs w:val="28"/>
              </w:rPr>
              <w:t xml:space="preserve"> на 2014-2016 годы</w:t>
            </w:r>
          </w:p>
          <w:p w:rsidR="0069688A" w:rsidRPr="00B03414" w:rsidRDefault="0069688A" w:rsidP="001C6C3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7B93" w:rsidRDefault="00167B93" w:rsidP="00167B93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постановлениями администрации Тужинского муниципального района от 23.07.2013 №410 «Об утверждении перечня муниципальных программ Тужинского муниципального района, предлагаемых к реализации в очередном 2014 году и плановом периоде до 2015-2016 годах и от 06.06.2013 №314 «О разработке, реализации и оценке эффективности реализации муниципальных программ Тужинского муниципального района» администрация Тужинского района 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167B93" w:rsidRDefault="00167B93" w:rsidP="00167B9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Утвердить муниципальную программу Тужинского муниципального района «Развитие физической культ</w:t>
      </w:r>
      <w:r w:rsidR="0069688A">
        <w:rPr>
          <w:rStyle w:val="FontStyle13"/>
          <w:sz w:val="28"/>
          <w:szCs w:val="28"/>
        </w:rPr>
        <w:t xml:space="preserve">уры и спорта» на 2014-2016 годы. </w:t>
      </w:r>
      <w:r>
        <w:rPr>
          <w:rStyle w:val="FontStyle13"/>
          <w:sz w:val="28"/>
          <w:szCs w:val="28"/>
        </w:rPr>
        <w:t>Прилагается.</w:t>
      </w:r>
    </w:p>
    <w:p w:rsidR="00167B93" w:rsidRDefault="00167B93" w:rsidP="00167B93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2.</w:t>
      </w:r>
      <w:r>
        <w:rPr>
          <w:rStyle w:val="FontStyle13"/>
          <w:sz w:val="28"/>
          <w:szCs w:val="28"/>
        </w:rPr>
        <w:tab/>
      </w:r>
      <w:r w:rsidR="0069688A" w:rsidRPr="0069688A">
        <w:rPr>
          <w:rFonts w:ascii="Times New Roman" w:hAnsi="Times New Roman"/>
          <w:sz w:val="28"/>
          <w:szCs w:val="28"/>
        </w:rPr>
        <w:t>Признать утратившими силу с 1 января 2014 года в связи с изменением действующего законодательства:</w:t>
      </w:r>
    </w:p>
    <w:p w:rsidR="0069688A" w:rsidRDefault="0069688A" w:rsidP="00167B93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Постановление администрации Тужинского муниципального района от 21.10.2011 №550 «Об утверждении муниципальной целевой программы «Развитие физической культуры и спорта в Тужинском районе» на 2012-2014 годы»;</w:t>
      </w:r>
    </w:p>
    <w:p w:rsidR="0069688A" w:rsidRDefault="0069688A" w:rsidP="00167B93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Постановление администрации Тужинского муниципального района от 25.10.2012 №611 « </w:t>
      </w:r>
      <w:r w:rsidRPr="0069688A">
        <w:rPr>
          <w:rFonts w:ascii="Times New Roman" w:hAnsi="Times New Roman"/>
          <w:sz w:val="28"/>
          <w:szCs w:val="28"/>
        </w:rPr>
        <w:t>О внесении изменений в муниципальную целевую программу «Развитие физической культуры и спорта в Тужинском районе» на 2012-2014 годы»</w:t>
      </w:r>
      <w:r>
        <w:rPr>
          <w:rFonts w:ascii="Times New Roman" w:hAnsi="Times New Roman"/>
          <w:sz w:val="28"/>
          <w:szCs w:val="28"/>
        </w:rPr>
        <w:t>;</w:t>
      </w:r>
    </w:p>
    <w:p w:rsidR="00F969D2" w:rsidRDefault="00F969D2" w:rsidP="00F969D2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Постановление администрации Тужинского муниципального района от 26.02.2013 №86 « </w:t>
      </w:r>
      <w:r w:rsidRPr="0069688A">
        <w:rPr>
          <w:rFonts w:ascii="Times New Roman" w:hAnsi="Times New Roman"/>
          <w:sz w:val="28"/>
          <w:szCs w:val="28"/>
        </w:rPr>
        <w:t>О внесении изменений в муниципальную целевую программу «Развитие физической культуры и спорта в Тужинском районе» на 2012-2014 годы»</w:t>
      </w:r>
      <w:r>
        <w:rPr>
          <w:rFonts w:ascii="Times New Roman" w:hAnsi="Times New Roman"/>
          <w:sz w:val="28"/>
          <w:szCs w:val="28"/>
        </w:rPr>
        <w:t>;</w:t>
      </w:r>
    </w:p>
    <w:p w:rsidR="0069688A" w:rsidRDefault="0069688A" w:rsidP="0069688A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Постановление администрации Тужинского муниципального района от 05.03.2013 №93 </w:t>
      </w:r>
      <w:r w:rsidRPr="0069688A">
        <w:rPr>
          <w:rStyle w:val="FontStyle13"/>
          <w:sz w:val="28"/>
          <w:szCs w:val="28"/>
        </w:rPr>
        <w:t>«</w:t>
      </w:r>
      <w:r w:rsidRPr="0069688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муниципального района от 21.10.2011 №550»;</w:t>
      </w:r>
    </w:p>
    <w:p w:rsidR="0069688A" w:rsidRDefault="00F969D2" w:rsidP="00F969D2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Постановление администрации Тужинского муниципального района от 18.04.2013 №205 </w:t>
      </w:r>
      <w:r w:rsidRPr="0069688A">
        <w:rPr>
          <w:rStyle w:val="FontStyle13"/>
          <w:sz w:val="28"/>
          <w:szCs w:val="28"/>
        </w:rPr>
        <w:t>«</w:t>
      </w:r>
      <w:r w:rsidRPr="0069688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муниципального района от 21.10.2011 №550»</w:t>
      </w:r>
      <w:r>
        <w:rPr>
          <w:rFonts w:ascii="Times New Roman" w:hAnsi="Times New Roman"/>
          <w:sz w:val="28"/>
          <w:szCs w:val="28"/>
        </w:rPr>
        <w:t>.</w:t>
      </w:r>
    </w:p>
    <w:p w:rsidR="00167B93" w:rsidRDefault="00167B93" w:rsidP="00167B93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 О</w:t>
      </w:r>
      <w:r>
        <w:rPr>
          <w:rFonts w:ascii="Times New Roman" w:hAnsi="Times New Roman"/>
          <w:bCs/>
          <w:sz w:val="28"/>
          <w:szCs w:val="28"/>
        </w:rPr>
        <w:t>публиковать настоящее постановление</w:t>
      </w:r>
      <w:r w:rsidRPr="00252419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</w:t>
      </w:r>
      <w:r>
        <w:rPr>
          <w:rFonts w:ascii="Times New Roman" w:hAnsi="Times New Roman"/>
          <w:bCs/>
          <w:sz w:val="28"/>
          <w:szCs w:val="28"/>
        </w:rPr>
        <w:t xml:space="preserve">равовых актов органов местного </w:t>
      </w:r>
      <w:r w:rsidRPr="00252419">
        <w:rPr>
          <w:rFonts w:ascii="Times New Roman" w:hAnsi="Times New Roman"/>
          <w:bCs/>
          <w:sz w:val="28"/>
          <w:szCs w:val="28"/>
        </w:rPr>
        <w:t>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167B93" w:rsidRDefault="00167B93" w:rsidP="00167B93">
      <w:pPr>
        <w:pStyle w:val="Style7"/>
        <w:widowControl/>
        <w:spacing w:after="720" w:line="360" w:lineRule="auto"/>
        <w:ind w:left="708" w:firstLine="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Настоящее постановление вступает в силу с 01.01.2014.                              5.  Контроль за исполнением постановления оставляю за собой.        </w:t>
      </w:r>
    </w:p>
    <w:p w:rsidR="00167B93" w:rsidRDefault="00167B93" w:rsidP="00F969D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357D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8357DC">
        <w:rPr>
          <w:rFonts w:ascii="Times New Roman" w:hAnsi="Times New Roman"/>
          <w:sz w:val="28"/>
          <w:szCs w:val="28"/>
        </w:rPr>
        <w:tab/>
      </w:r>
    </w:p>
    <w:p w:rsidR="00167B93" w:rsidRDefault="00167B93" w:rsidP="00F969D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357DC">
        <w:rPr>
          <w:rFonts w:ascii="Times New Roman" w:hAnsi="Times New Roman"/>
          <w:sz w:val="28"/>
          <w:szCs w:val="28"/>
        </w:rPr>
        <w:t xml:space="preserve">Тужинского муниципального района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969D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Е.В. Видякина</w:t>
      </w:r>
    </w:p>
    <w:p w:rsidR="00F969D2" w:rsidRDefault="00F969D2" w:rsidP="00167B93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969D2" w:rsidRDefault="00F969D2" w:rsidP="00167B93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69D2" w:rsidRPr="00167B93" w:rsidRDefault="00F969D2" w:rsidP="00167B93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969D2" w:rsidRDefault="00F969D2" w:rsidP="00F969D2">
      <w:pPr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F969D2" w:rsidRDefault="00F969D2" w:rsidP="00871F45">
      <w:pPr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физической                                                             культуре и спорту администрации                                                             Тужинского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1F4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А.Н.Чесноков</w:t>
      </w:r>
    </w:p>
    <w:p w:rsidR="00F969D2" w:rsidRDefault="00F969D2" w:rsidP="00871F45">
      <w:pPr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Начальник Финансового управления                                                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>администрации Тужинского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D6A96">
        <w:rPr>
          <w:rFonts w:ascii="Times New Roman" w:hAnsi="Times New Roman"/>
          <w:color w:val="000000"/>
          <w:sz w:val="28"/>
          <w:szCs w:val="28"/>
        </w:rPr>
        <w:t xml:space="preserve">района                                               </w:t>
      </w:r>
      <w:r w:rsidR="00871F4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D6A96">
        <w:rPr>
          <w:rFonts w:ascii="Times New Roman" w:hAnsi="Times New Roman"/>
          <w:color w:val="000000"/>
          <w:sz w:val="28"/>
          <w:szCs w:val="28"/>
        </w:rPr>
        <w:t xml:space="preserve">        И.Н.Докучаева</w:t>
      </w:r>
    </w:p>
    <w:p w:rsidR="00F969D2" w:rsidRPr="009D6A96" w:rsidRDefault="00871F45" w:rsidP="00F969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lastRenderedPageBreak/>
        <w:t>Заведующая отделом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>по экономике и прогнозированию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администрации Тужинского </w:t>
      </w:r>
    </w:p>
    <w:p w:rsidR="00F969D2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9D6A96">
        <w:rPr>
          <w:rFonts w:ascii="Times New Roman" w:hAnsi="Times New Roman"/>
          <w:color w:val="000000"/>
          <w:sz w:val="28"/>
          <w:szCs w:val="28"/>
        </w:rPr>
        <w:t>Г.А. Клепцова</w:t>
      </w:r>
    </w:p>
    <w:p w:rsidR="00871F45" w:rsidRPr="009D6A96" w:rsidRDefault="00871F45" w:rsidP="00871F4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9D6A96">
        <w:rPr>
          <w:rFonts w:ascii="Times New Roman" w:hAnsi="Times New Roman"/>
          <w:color w:val="000000"/>
          <w:sz w:val="28"/>
          <w:szCs w:val="28"/>
        </w:rPr>
        <w:t>правляющий делами</w:t>
      </w:r>
    </w:p>
    <w:p w:rsidR="00F969D2" w:rsidRPr="009D6A96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администрации Тужинского </w:t>
      </w:r>
    </w:p>
    <w:p w:rsidR="00F969D2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Л.В. Бледных  </w:t>
      </w:r>
    </w:p>
    <w:p w:rsidR="00871F45" w:rsidRPr="009D6A96" w:rsidRDefault="00871F45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9D2" w:rsidRDefault="00F969D2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Ведущий специалист-юрист </w:t>
      </w:r>
    </w:p>
    <w:p w:rsidR="00871F45" w:rsidRDefault="00871F45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отдела юридического обеспечения</w:t>
      </w:r>
    </w:p>
    <w:p w:rsidR="00871F45" w:rsidRPr="009D6A96" w:rsidRDefault="00871F45" w:rsidP="00871F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делами</w:t>
      </w:r>
    </w:p>
    <w:p w:rsidR="00F969D2" w:rsidRPr="009D6A96" w:rsidRDefault="00F969D2" w:rsidP="00871F45">
      <w:pPr>
        <w:spacing w:after="0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администрации Тужинского </w:t>
      </w:r>
    </w:p>
    <w:p w:rsidR="00F969D2" w:rsidRPr="009D6A96" w:rsidRDefault="00F969D2" w:rsidP="00871F45">
      <w:pPr>
        <w:spacing w:after="0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>муниципального района                                                          А.Ю. Еськова</w:t>
      </w:r>
    </w:p>
    <w:p w:rsidR="00F969D2" w:rsidRPr="009D6A96" w:rsidRDefault="00F969D2" w:rsidP="00F969D2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69D2" w:rsidRDefault="00F969D2" w:rsidP="00F969D2">
      <w:pPr>
        <w:spacing w:after="480"/>
        <w:jc w:val="both"/>
      </w:pPr>
      <w:r w:rsidRPr="009D6A96">
        <w:rPr>
          <w:rFonts w:ascii="Times New Roman" w:hAnsi="Times New Roman"/>
          <w:color w:val="000000"/>
          <w:sz w:val="28"/>
          <w:szCs w:val="28"/>
        </w:rPr>
        <w:t xml:space="preserve">Разослать: дело, прокуратура, отдел </w:t>
      </w:r>
      <w:r>
        <w:rPr>
          <w:rFonts w:ascii="Times New Roman" w:hAnsi="Times New Roman"/>
          <w:color w:val="000000"/>
          <w:sz w:val="28"/>
          <w:szCs w:val="28"/>
        </w:rPr>
        <w:t>социальных отношений</w:t>
      </w:r>
      <w:r w:rsidRPr="009D6A96">
        <w:rPr>
          <w:rFonts w:ascii="Times New Roman" w:hAnsi="Times New Roman"/>
          <w:color w:val="000000"/>
          <w:sz w:val="28"/>
          <w:szCs w:val="28"/>
        </w:rPr>
        <w:t>, бюллетень, ФУ, отдел по экономике и прогнозированию.</w:t>
      </w:r>
    </w:p>
    <w:p w:rsidR="00167B93" w:rsidRDefault="00167B93">
      <w:pPr>
        <w:spacing w:after="0"/>
        <w:jc w:val="right"/>
        <w:rPr>
          <w:rFonts w:ascii="Times New Roman" w:hAnsi="Times New Roman"/>
          <w:sz w:val="28"/>
        </w:rPr>
      </w:pPr>
    </w:p>
    <w:p w:rsidR="00167B93" w:rsidRDefault="00167B93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871F45" w:rsidRDefault="00871F45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F969D2" w:rsidRDefault="00F969D2">
      <w:pPr>
        <w:spacing w:after="0"/>
        <w:jc w:val="right"/>
        <w:rPr>
          <w:rFonts w:ascii="Times New Roman" w:hAnsi="Times New Roman"/>
          <w:sz w:val="28"/>
        </w:rPr>
      </w:pPr>
    </w:p>
    <w:p w:rsidR="00167B93" w:rsidRDefault="00167B93">
      <w:pPr>
        <w:spacing w:after="0"/>
        <w:jc w:val="right"/>
        <w:rPr>
          <w:rFonts w:ascii="Times New Roman" w:hAnsi="Times New Roman"/>
          <w:sz w:val="28"/>
        </w:rPr>
      </w:pPr>
    </w:p>
    <w:p w:rsidR="007201E3" w:rsidRDefault="007201E3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201E3" w:rsidRDefault="007201E3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201E3" w:rsidRDefault="007201E3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Тужинского муниципального района</w:t>
      </w:r>
      <w:r>
        <w:rPr>
          <w:rFonts w:ascii="Times New Roman" w:hAnsi="Times New Roman"/>
          <w:sz w:val="28"/>
        </w:rPr>
        <w:tab/>
      </w:r>
    </w:p>
    <w:p w:rsidR="007201E3" w:rsidRDefault="007201E3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201E3" w:rsidRDefault="0014691C" w:rsidP="0014691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610CA4">
        <w:rPr>
          <w:rFonts w:ascii="Times New Roman" w:hAnsi="Times New Roman"/>
          <w:sz w:val="28"/>
        </w:rPr>
        <w:t xml:space="preserve">                              </w:t>
      </w:r>
      <w:r w:rsidR="00610CA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</w:t>
      </w:r>
      <w:r w:rsidR="007201E3">
        <w:rPr>
          <w:rFonts w:ascii="Times New Roman" w:hAnsi="Times New Roman"/>
          <w:sz w:val="28"/>
        </w:rPr>
        <w:t>т</w:t>
      </w:r>
      <w:r w:rsidR="00610CA4">
        <w:rPr>
          <w:rFonts w:ascii="Times New Roman" w:hAnsi="Times New Roman"/>
          <w:sz w:val="28"/>
        </w:rPr>
        <w:t xml:space="preserve"> 11.10</w:t>
      </w:r>
      <w:r>
        <w:rPr>
          <w:rFonts w:ascii="Times New Roman" w:hAnsi="Times New Roman"/>
          <w:sz w:val="28"/>
        </w:rPr>
        <w:t xml:space="preserve">.2013 </w:t>
      </w:r>
      <w:r w:rsidR="007201E3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540</w:t>
      </w:r>
      <w:r w:rsidR="007201E3">
        <w:rPr>
          <w:rFonts w:ascii="Times New Roman" w:hAnsi="Times New Roman"/>
          <w:sz w:val="28"/>
        </w:rPr>
        <w:tab/>
      </w:r>
      <w:r w:rsidR="007201E3">
        <w:rPr>
          <w:rFonts w:ascii="Times New Roman" w:hAnsi="Times New Roman"/>
          <w:sz w:val="28"/>
        </w:rPr>
        <w:tab/>
      </w: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right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7201E3" w:rsidRDefault="007201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ТУЖИНСКОГО МУНИЦИПАЛЬНОГО РАЙОНА</w:t>
      </w:r>
    </w:p>
    <w:p w:rsidR="007201E3" w:rsidRDefault="007201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ФИЗИЧЕСКОЙ КУЛЬТУРЫ И СПОРТА»</w:t>
      </w:r>
    </w:p>
    <w:p w:rsidR="007201E3" w:rsidRDefault="007201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2014-2016 ГОДЫ</w:t>
      </w:r>
    </w:p>
    <w:p w:rsidR="007201E3" w:rsidRDefault="007201E3">
      <w:pPr>
        <w:jc w:val="center"/>
        <w:rPr>
          <w:rFonts w:ascii="Times New Roman" w:hAnsi="Times New Roman"/>
          <w:b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</w:p>
    <w:p w:rsidR="007201E3" w:rsidRDefault="007201E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 Тужа</w:t>
      </w:r>
    </w:p>
    <w:p w:rsidR="007201E3" w:rsidRDefault="007201E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 год</w:t>
      </w:r>
    </w:p>
    <w:p w:rsidR="007201E3" w:rsidRDefault="007201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</w:t>
      </w:r>
    </w:p>
    <w:p w:rsidR="007201E3" w:rsidRDefault="007201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муниципальной программы Тужинского муниципального района</w:t>
      </w:r>
    </w:p>
    <w:p w:rsidR="007201E3" w:rsidRDefault="007201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 культуры и спорта» на 2014-2016 годы</w:t>
      </w:r>
    </w:p>
    <w:p w:rsidR="007201E3" w:rsidRDefault="007201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Ответственный исполнитель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Отдел социальных отношений администрации Тужинского муниципального района 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подпрограмм*</w:t>
            </w:r>
          </w:p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Цели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развитие физической культуры и спорта для обеспечения гарантий доступности жителей района к развитой спортивной инфраструктуре, приобщение различных слоёв населения к регулярным занятиям физической культурой и спортом; 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повышение конкурентоспособности спортсменов Тужинского района на областном, всероссийском уровне;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организация предоставления дополнительного образования детям в области физкультуры, спорта и подготовка спортивного резерва в Тужинском районе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укрепление материально-технической базы для занятий физической культурой и спортом за счет строительства новых и реконструкции имеющихся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спортивных объектов;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массового спорта среди различных категорий и групп населения, в том числе в образовательных учреждениях;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пропаганда физической культуры и здорового образа жизни;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детско-юношеского спорта (совершенствование подготовки спортивного резерва);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сохранение кадрового потенциала спортивной школы.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</w:t>
            </w:r>
            <w:r>
              <w:rPr>
                <w:rFonts w:ascii="Times New Roman" w:hAnsi="Times New Roman"/>
                <w:sz w:val="28"/>
              </w:rPr>
              <w:t>беспеченность спортивными залами;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</w:t>
            </w:r>
            <w:r>
              <w:rPr>
                <w:rFonts w:ascii="Times New Roman" w:hAnsi="Times New Roman"/>
                <w:sz w:val="28"/>
              </w:rPr>
              <w:t>беспеченность плоскостными сооружениями;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удельный вес населения, систематически занимающегося физкультурой и спортом;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</w:t>
            </w:r>
            <w:r>
              <w:rPr>
                <w:rFonts w:ascii="Times New Roman" w:hAnsi="Times New Roman"/>
                <w:sz w:val="28"/>
              </w:rPr>
              <w:t>реднегодовая численность детей и подростков, занимающихся в учреждениях дополнительного образования спортивной направленности (ДЮСШ) (чел.);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>
              <w:rPr>
                <w:rFonts w:ascii="Times New Roman" w:hAnsi="Times New Roman"/>
                <w:sz w:val="28"/>
              </w:rPr>
              <w:t>оличество физкультурных и спортивно-массовых мероприятий, проводимых на территории района в год;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>
              <w:rPr>
                <w:rFonts w:ascii="Times New Roman" w:hAnsi="Times New Roman"/>
                <w:sz w:val="28"/>
              </w:rPr>
              <w:t>оличество реконструированных и вновь построенных спортивных объектов за год;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доля</w:t>
            </w:r>
            <w:r>
              <w:rPr>
                <w:rFonts w:ascii="Times New Roman" w:hAnsi="Times New Roman"/>
                <w:sz w:val="28"/>
              </w:rPr>
              <w:t xml:space="preserve"> занимающихся, которые имеют 1 взрослый разряд и выше от количества обучающихся в учебно-тренировочных группах (%)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2014-2016 годы. Программа не предусматривает разбивки на этапы.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 ассигнований на реализацию муниципальной программы составляет 2518,7 тыс. рублей, в том числе: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местного бюджета –  всего –2488,7 тыс. рублей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 335,0 тыс. рублей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844,5 тыс. рублей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1339,2 тыс. рублей.</w:t>
            </w:r>
          </w:p>
        </w:tc>
      </w:tr>
      <w:tr w:rsidR="007201E3">
        <w:tc>
          <w:tcPr>
            <w:tcW w:w="2790" w:type="dxa"/>
          </w:tcPr>
          <w:p w:rsidR="007201E3" w:rsidRDefault="007201E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674" w:type="dxa"/>
          </w:tcPr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 количественном выражении к концу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8"/>
                <w:szCs w:val="24"/>
              </w:rPr>
              <w:t>.: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обеспеченность спортивными залами составит 3,33 тыс. кв.м. на 10 тыс. человек;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- обеспеченность плоскостными сооружениями составит 76,5 тыс. кв.м. на 10 тыс. человек;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увеличится удельный вес населения, систематически занимающегося физической культурой и спортом, до 27%;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среднегодовая численность детей и подростков, занимающихся в учреждениях дополнительного образования спортивной направленности (ДЮСШ) возрастёт до 230 человек;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количество физкультурных и спортивно-массовых мероприятий, проводимых на территории района, составит 40 в год;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ежегодно будет реконструироваться или вновь строиться по 1 спортивному объекту;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количество занимающихся. которые имеют 1 взрослый разряд и выше от количества обучающихся в учебно-тренировочных группах составит не менее 15%.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качественном выражении: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повысится качество дополнительного образования в сфере физической культуры и спорта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 уровне прежних лет останется количество проводимых физкультурных и спортивно-массовых мероприятий;</w:t>
            </w:r>
          </w:p>
          <w:p w:rsidR="007201E3" w:rsidRDefault="007201E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повысится качество дополнительного образования в сфере физической культуры и спорта.</w:t>
            </w:r>
          </w:p>
        </w:tc>
      </w:tr>
    </w:tbl>
    <w:p w:rsidR="007201E3" w:rsidRDefault="007201E3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* - </w:t>
      </w:r>
      <w:r>
        <w:rPr>
          <w:rFonts w:ascii="Times New Roman" w:hAnsi="Times New Roman"/>
          <w:bCs/>
          <w:sz w:val="28"/>
          <w:szCs w:val="24"/>
        </w:rPr>
        <w:t>указываются при их наличии</w:t>
      </w:r>
    </w:p>
    <w:p w:rsidR="007201E3" w:rsidRDefault="007201E3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Общая характеристика сферы физической культуры и спорта, </w:t>
      </w:r>
    </w:p>
    <w:p w:rsidR="007201E3" w:rsidRDefault="007201E3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 том числе формулировки основных проблем в указанной сфере </w:t>
      </w:r>
    </w:p>
    <w:p w:rsidR="007201E3" w:rsidRDefault="007201E3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 прогноз её развития</w:t>
      </w:r>
    </w:p>
    <w:p w:rsidR="007201E3" w:rsidRDefault="007201E3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7"/>
        <w:rPr>
          <w:sz w:val="28"/>
        </w:rPr>
      </w:pPr>
      <w:r>
        <w:rPr>
          <w:sz w:val="28"/>
        </w:rP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настоящее время в сфере физической культуры и спорта Тужинского района сложилась непростая ситуация, характеризующаяся рядом проблем, в том числе системных, которые составляют основу для разработки задач и мероприятий Муниципальной  программы.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Одной из важных проблем является недостаточное количество граждан, занимающихся спортом. Статистика свидетельствует, что в настоящее время Тужинский район занимает лидирующие позиции в этом направлении. Доля граждан, систематически занимающихся физической культурой и спортом, в области на 31.12.2012 не превышает 19,4% , а  в районе  26,8 %  населения занимаются физической культурой и спортом.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Обеспеченность спортивными объектами вроде бы не вызывает тревоги,  но за последние годы построен только физкультурно-оздоровительный комплекс (ФОК), общее количество спортивных сооружений составляет 36 единиц. При этом степень морального и физического износа спортивных сооружений статистикой не учитывается. По оценкам специалистов управления по физической культуре и спорту Кировской области, до 90%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соревнований. Эти проблемы вызваны недостаточным финансированием сферы физической культуры и спорта в предыдущие годы. Несмотря на тенденцию к незначительному увеличению бюджетного финансирования физической культуры и спорта, а также рост количества людей, активно занимающихся спортом, направленность и объем бюджетных расходов на сегодняшний день далеки от оптимальных.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Немаловажной проблемой, препятствующей занятиям спортом, является неразвитая система инфраструктуры современных видов спорта, которые особо привлекательны для молодежи (сноуборд, скейтинг, би-эм-икс, артистик-слалом, спидскейтинг).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31.12.2012  численность учащихся в детско-юношеской спортивной школы района(далее - ДЮСШ) достигла 222 человека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Численность занимающихся в спортивной школе на этапах подготовки по состоянию на конец 2012 года представлена в таблице 1.</w:t>
      </w:r>
    </w:p>
    <w:p w:rsidR="007201E3" w:rsidRDefault="007201E3">
      <w:pPr>
        <w:pStyle w:val="a3"/>
        <w:ind w:left="0"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Таблица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726"/>
        <w:gridCol w:w="1094"/>
        <w:gridCol w:w="726"/>
        <w:gridCol w:w="1094"/>
        <w:gridCol w:w="691"/>
        <w:gridCol w:w="1094"/>
        <w:gridCol w:w="726"/>
        <w:gridCol w:w="1094"/>
      </w:tblGrid>
      <w:tr w:rsidR="007201E3">
        <w:trPr>
          <w:cantSplit/>
        </w:trPr>
        <w:tc>
          <w:tcPr>
            <w:tcW w:w="2376" w:type="dxa"/>
            <w:vMerge w:val="restart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этапа подготовки</w:t>
            </w:r>
          </w:p>
        </w:tc>
        <w:tc>
          <w:tcPr>
            <w:tcW w:w="1843" w:type="dxa"/>
            <w:gridSpan w:val="2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1843" w:type="dxa"/>
            <w:gridSpan w:val="2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1559" w:type="dxa"/>
            <w:gridSpan w:val="2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</w:t>
            </w:r>
          </w:p>
        </w:tc>
        <w:tc>
          <w:tcPr>
            <w:tcW w:w="1843" w:type="dxa"/>
            <w:gridSpan w:val="2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</w:p>
        </w:tc>
      </w:tr>
      <w:tr w:rsidR="007201E3">
        <w:trPr>
          <w:cantSplit/>
        </w:trPr>
        <w:tc>
          <w:tcPr>
            <w:tcW w:w="2376" w:type="dxa"/>
            <w:vMerge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99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от общего кол-ва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(%)</w:t>
            </w:r>
          </w:p>
        </w:tc>
        <w:tc>
          <w:tcPr>
            <w:tcW w:w="851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99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от общего кол-ва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(%)</w:t>
            </w:r>
          </w:p>
        </w:tc>
        <w:tc>
          <w:tcPr>
            <w:tcW w:w="653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906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от общего кол-ва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(%)</w:t>
            </w:r>
          </w:p>
        </w:tc>
        <w:tc>
          <w:tcPr>
            <w:tcW w:w="851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99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от общего кол-ва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(%)</w:t>
            </w:r>
          </w:p>
        </w:tc>
      </w:tr>
      <w:tr w:rsidR="007201E3">
        <w:tc>
          <w:tcPr>
            <w:tcW w:w="2376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Спортивно-оздоровительный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56,8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60,9</w:t>
            </w:r>
          </w:p>
        </w:tc>
        <w:tc>
          <w:tcPr>
            <w:tcW w:w="653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</w:t>
            </w:r>
          </w:p>
        </w:tc>
        <w:tc>
          <w:tcPr>
            <w:tcW w:w="906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62,2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60,8</w:t>
            </w:r>
          </w:p>
        </w:tc>
      </w:tr>
      <w:tr w:rsidR="007201E3">
        <w:tc>
          <w:tcPr>
            <w:tcW w:w="2376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Начальной подготовки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31,5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27,8</w:t>
            </w:r>
          </w:p>
        </w:tc>
        <w:tc>
          <w:tcPr>
            <w:tcW w:w="653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906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26,1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26,1</w:t>
            </w:r>
          </w:p>
        </w:tc>
      </w:tr>
      <w:tr w:rsidR="007201E3">
        <w:tc>
          <w:tcPr>
            <w:tcW w:w="2376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</w:t>
            </w:r>
            <w:r>
              <w:rPr>
                <w:rFonts w:ascii="Times New Roman" w:hAnsi="Times New Roman"/>
                <w:sz w:val="28"/>
              </w:rPr>
              <w:lastRenderedPageBreak/>
              <w:t>тренировочный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11,7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11,3</w:t>
            </w:r>
          </w:p>
        </w:tc>
        <w:tc>
          <w:tcPr>
            <w:tcW w:w="653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906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11,7</w:t>
            </w:r>
          </w:p>
        </w:tc>
        <w:tc>
          <w:tcPr>
            <w:tcW w:w="851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13,1</w:t>
            </w:r>
          </w:p>
        </w:tc>
      </w:tr>
      <w:tr w:rsidR="007201E3">
        <w:tc>
          <w:tcPr>
            <w:tcW w:w="2376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</w:t>
            </w:r>
          </w:p>
        </w:tc>
        <w:tc>
          <w:tcPr>
            <w:tcW w:w="992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51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992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6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906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51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992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спортивной школе от общего количества занимающихся доля учащихся в возрасте до 14 лет составила 46,8%, от 15 до 30 лет – 53,2%.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31.12.2012 в области физического воспитания детей и молодежи в учреждениях спортивной направленности работают 25 человек, из которых 88,0% физкультурных работников имеют высшее и среднее специальное физкультурное образование. Во многом проблема развития кадрового потенциала связана с низким размером заработной платы молодых специалистов.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заведений, подведомственных Министерству спорта Российской Федерации. Данная ситуация не позволяет своевременно изучать, осваивать современные спортивные методики подготовки спортсменов на разных этапах спортивной подготовки.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Особое внимание в Тужинском районе оказывается проведению физкультурных и спортивных мероприятий. Так, в 2011 году было проведено 38 спортивно-оздоровительных мероприятий, но уже в 2012 году несмотря на уменьшение бюджетного финансирования проведено 40 мероприятий. В то же время требуется уделять внимание и мероприятиям любительского спорта, а также повышению уровня зрелищности проводимых мероприятий, чтобы они стали инструментом пропаганды спорта.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Развитие физического воспитания, в свою очередь, требует решения проблемы привлечения к занятиям спортом различных слоев населения путем распространения массовых физкультурно-оздоровительных занятий для граждан старшего возраста, таких, как "55 +".</w:t>
      </w:r>
    </w:p>
    <w:p w:rsidR="007201E3" w:rsidRDefault="007201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Существующая законодательная база предполагает самостоятельность органов местного самоуправления в решении социальных вопросов, в том числе вопросов развития физической культуры и спорта, что приводит к существенной разнице в подходах к организации дополнительного образования и участию сборных команд района в областных соревнованиях. Необходимо учитывать, что физическое воспитание детей, молодежи и подготовка спортивного резерва являются многолетним целенаправленным учебно-тренировочным процессом по видам спорта, осуществляемым как в образовательных учреждениях дополнительного образования детей, так и в учреждениях, организациях в сфере физической культуры и спорта, начиная со спортивно-оздоровительного этапа и заканчивая этапом высшего спортивного мастерства.</w:t>
      </w:r>
    </w:p>
    <w:p w:rsidR="007201E3" w:rsidRDefault="007201E3">
      <w:pPr>
        <w:pStyle w:val="a3"/>
        <w:ind w:firstLine="696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pStyle w:val="a3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Приоритеты муниципальной политики в сфере физической культуры и спорта, цели, задачи, целевые показатели эффективности реализации </w:t>
      </w:r>
      <w:r>
        <w:rPr>
          <w:rFonts w:ascii="Times New Roman" w:hAnsi="Times New Roman"/>
          <w:b/>
          <w:sz w:val="28"/>
          <w:szCs w:val="24"/>
        </w:rPr>
        <w:lastRenderedPageBreak/>
        <w:t>Муниципальной программы, ожидаемые конечные результаты реализации Муниципальной программы, сроки и этапы реализации Муниципальной программы</w:t>
      </w:r>
    </w:p>
    <w:p w:rsidR="007201E3" w:rsidRDefault="007201E3">
      <w:pPr>
        <w:pStyle w:val="a3"/>
        <w:ind w:left="0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Основными целями муниципальной политики в сфере физической культуры и спорта являются: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физической культуры и спорта для обеспечения гарантий доступности жителей района к развитой спортивной инфраструктуре, приобщение различных слоёв населения к регулярным занятиям физической культурой и спортом, повышение конкурентоспособности спортсменов района на областном, всероссийском уровне;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организация предоставления дополнительного образования детям в области физкультуры, спорта и подготовка спортивного  резерва в Тужинском районе.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Достижение этих целей предполагает решение следующих задач: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объектов;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массового спорта среди различных категорий и групп населения, в том числе в образовательных учреждениях;</w:t>
      </w:r>
    </w:p>
    <w:p w:rsidR="007201E3" w:rsidRDefault="007201E3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пропаганда физической культуры и здорового образа жизни;</w:t>
      </w:r>
    </w:p>
    <w:p w:rsidR="007201E3" w:rsidRDefault="007201E3">
      <w:pPr>
        <w:pStyle w:val="a3"/>
        <w:spacing w:after="0"/>
        <w:ind w:left="0" w:firstLine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</w:r>
    </w:p>
    <w:p w:rsidR="007201E3" w:rsidRDefault="007201E3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детско-юношеского спорта (совершенствование подготовки спортивного резерва);</w:t>
      </w:r>
    </w:p>
    <w:p w:rsidR="007201E3" w:rsidRDefault="007201E3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сохранение кадрового потенциала спортивной школы.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Источниками информации о значениях целевых показателей являются ведомственная и статистическая отчетность. Расчетные показатели и методика их расчета приведены в таблице 2.</w:t>
      </w:r>
    </w:p>
    <w:p w:rsidR="007201E3" w:rsidRDefault="007201E3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2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9"/>
        <w:gridCol w:w="4748"/>
      </w:tblGrid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расчёта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спортивными залами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position w:val="-24"/>
                <w:sz w:val="28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>
                  <v:imagedata r:id="rId6" o:title=""/>
                </v:shape>
                <o:OLEObject Type="Embed" ProgID="Equation.3" ShapeID="_x0000_i1025" DrawAspect="Content" ObjectID="_1518522345" r:id="rId7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Оз – </w:t>
            </w:r>
            <w:r>
              <w:rPr>
                <w:rFonts w:ascii="Times New Roman" w:hAnsi="Times New Roman"/>
                <w:sz w:val="28"/>
              </w:rPr>
              <w:t>обеспеченность спортивными залами (тыс.кв.м. на 10 тыс человек);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Пз – </w:t>
            </w:r>
            <w:r>
              <w:rPr>
                <w:rFonts w:ascii="Times New Roman" w:hAnsi="Times New Roman"/>
                <w:sz w:val="28"/>
              </w:rPr>
              <w:t>общая площадь спортивных залов на конец отчетного периода по форме статистической отчетности № 1-ФК (тыс.кв.м.);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Чис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численность постоянного </w:t>
            </w:r>
            <w:r>
              <w:rPr>
                <w:rFonts w:ascii="Times New Roman" w:hAnsi="Times New Roman"/>
                <w:sz w:val="28"/>
              </w:rPr>
              <w:lastRenderedPageBreak/>
              <w:t>населения муниципального образования на начало года, следующего за отчетным, по данным статотчёта (тыс. человек)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плоскостными сооружениями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position w:val="-24"/>
                <w:sz w:val="28"/>
              </w:rPr>
              <w:object w:dxaOrig="1520" w:dyaOrig="620">
                <v:shape id="_x0000_i1026" type="#_x0000_t75" style="width:75.75pt;height:30.75pt" o:ole="">
                  <v:imagedata r:id="rId8" o:title=""/>
                </v:shape>
                <o:OLEObject Type="Embed" ProgID="Equation.3" ShapeID="_x0000_i1026" DrawAspect="Content" ObjectID="_1518522346" r:id="rId9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Осс – </w:t>
            </w:r>
            <w:r>
              <w:rPr>
                <w:rFonts w:ascii="Times New Roman" w:hAnsi="Times New Roman"/>
                <w:sz w:val="28"/>
              </w:rPr>
              <w:t>обеспеченность плоскостными спортивными сооружениями (тыс.кв.метров на 10 тыс. человек);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Псс – </w:t>
            </w:r>
            <w:r>
              <w:rPr>
                <w:rFonts w:ascii="Times New Roman" w:hAnsi="Times New Roman"/>
                <w:sz w:val="28"/>
              </w:rPr>
              <w:t>общая площадь плоскостных спортивных сооружений на конец отчетного периода пол форме статистической отчетности № 1-ФК (тыс. кв. метров);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Чис - </w:t>
            </w:r>
            <w:r>
              <w:rPr>
                <w:rFonts w:ascii="Times New Roman" w:hAnsi="Times New Roman"/>
                <w:sz w:val="28"/>
              </w:rPr>
              <w:t>численность постоянного населения муниципального образования на начало года, следующего за отчетным, по данным статотчёта (тыс. человек)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position w:val="-44"/>
                <w:sz w:val="28"/>
              </w:rPr>
              <w:object w:dxaOrig="1719" w:dyaOrig="999">
                <v:shape id="_x0000_i1027" type="#_x0000_t75" style="width:86.25pt;height:50.25pt" o:ole="">
                  <v:imagedata r:id="rId10" o:title=""/>
                </v:shape>
                <o:OLEObject Type="Embed" ProgID="Equation.3" ShapeID="_x0000_i1027" DrawAspect="Content" ObjectID="_1518522347" r:id="rId11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Ув </w:t>
            </w:r>
            <w:r>
              <w:rPr>
                <w:rFonts w:ascii="Times New Roman" w:hAnsi="Times New Roman"/>
                <w:sz w:val="28"/>
              </w:rPr>
              <w:t>– удельный вес населения, систематически занимающегося физической культурой и спортом ( процентов);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Чз – </w:t>
            </w:r>
            <w:r>
              <w:rPr>
                <w:rFonts w:ascii="Times New Roman" w:hAnsi="Times New Roman"/>
                <w:sz w:val="28"/>
              </w:rPr>
              <w:t>численность населения, систематически занимающегося физической культурой и спортом на конец отчетного периода по форме статистической отчетности № 1-ФК (тыс. человек);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Чис – </w:t>
            </w:r>
            <w:r>
              <w:rPr>
                <w:rFonts w:ascii="Times New Roman" w:hAnsi="Times New Roman"/>
                <w:sz w:val="28"/>
              </w:rPr>
              <w:t>численность постоянного населения муниципального образования на начало года, следующего за отчетным, по данным статотчёта (тыс. человек)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Среднегодовая численность детей и подростков, </w:t>
            </w:r>
            <w:r>
              <w:rPr>
                <w:rFonts w:ascii="Times New Roman" w:hAnsi="Times New Roman"/>
                <w:sz w:val="28"/>
              </w:rPr>
              <w:lastRenderedPageBreak/>
              <w:t>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Скз = (Чснг+Чскг)/2</w: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Скз</w:t>
            </w:r>
            <w:r>
              <w:rPr>
                <w:rFonts w:ascii="Times New Roman" w:hAnsi="Times New Roman"/>
                <w:sz w:val="28"/>
              </w:rPr>
              <w:t xml:space="preserve"> – среднегодовое количество занимающихся (обучающихся в спортивных школах (человек);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Чснг </w:t>
            </w:r>
            <w:r>
              <w:rPr>
                <w:rFonts w:ascii="Times New Roman" w:hAnsi="Times New Roman"/>
                <w:sz w:val="28"/>
              </w:rPr>
              <w:t>– количество занимающихся (обучающихся) в спортивных школах на начало отчетного периода по данным формы статистической отчетности №5-ФК (человек)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Чскг – </w:t>
            </w:r>
            <w:r>
              <w:rPr>
                <w:rFonts w:ascii="Times New Roman" w:hAnsi="Times New Roman"/>
                <w:sz w:val="28"/>
              </w:rPr>
              <w:t>количество занимающихся (обучающихся) в спортивных школах на конец отчетного периода по данным формы статистической отчетности №5-ФК (человек)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реконструированных и вновь построенных спортивных объектов за год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  <w:tr w:rsidR="007201E3">
        <w:tc>
          <w:tcPr>
            <w:tcW w:w="534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252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занимающихся, которые имеют 1 взрослый разряд и выше от количества обучающихся в учебно-тренировочных группах (%)</w:t>
            </w:r>
          </w:p>
        </w:tc>
        <w:tc>
          <w:tcPr>
            <w:tcW w:w="4785" w:type="dxa"/>
          </w:tcPr>
          <w:p w:rsidR="007201E3" w:rsidRDefault="007201E3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</w:tbl>
    <w:p w:rsidR="007201E3" w:rsidRDefault="007201E3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Муниципальная программа реализуется в 2014-2016 годах.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новый качественный уровень выйдет система проведения физкультурных и спортивных мероприятий;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уровне прежних лет останется количество проводимых физкультурных и спортивно-массовых мероприятий;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повысится качество дополнительного образования в сфере физической культуры и спорта.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Сведения о количественных значениях целевых показателей эффективности реализации Муниципальной программы приведены в приложении № 1 к Муниципальной программе.</w:t>
      </w:r>
    </w:p>
    <w:p w:rsidR="007201E3" w:rsidRDefault="007201E3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Обобщенная характеристика мероприятий Муниципальной программы</w:t>
      </w:r>
    </w:p>
    <w:p w:rsidR="007201E3" w:rsidRDefault="007201E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>Достижение целей и решение задач программы осуществляется путем скоординированного выполнения комплекса взаимоувязанных по срокам, ресурсам, исполнителям и результатам мероприятий. (Приложение № 2 к Муниципальной программе)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объектов» осуществляется путём: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реконструкции и строительства новых спортивных объектов, спортивных площадок;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развития и создания условий для эффективного использования спортивной инфраструктуры.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«Развитие массового спорта среди различных категорий и групп населения, в том числе в образовательных учреждениях» осуществляется путём: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предоставления услуг в сфере физкультуры и спорта на спортивных сооружениях общеобразовательных и спортивной школ и учреждениях спортивной направленности района;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привлечения различных категорий и групп населения к участию в различных физкультурно-оздоровительных районных мероприятиях;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физкультурно-оздоровительных мероприятий на районном уровне в дошкольных учреждениях;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физкультурно-оздоровительных мероприятий в образовательных учреждениях;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 Спартакиад среди работников трудовых коллективов, работников образовательных учреждений.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«Пропаганда физической культуры и здорового образа жизни» осуществляется путем: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 массовых спортивных мероприятий (Лыжня России, Кросс наций и т.д.);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информирования населения о проводимых мероприятиях, лучших спортсменах, их достижениях через СМИ;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рекламы проводимых мероприятий;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спортивного праздника «В труде и спорте»;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изготовления баннера, пропагандирующего здоровый образ жизни.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рамках отдельного мероприятия будет реализовываться «Организация предоставления дополнительного образования детям в области физкультуры. спорта и подготовка спортивного резерва в Тужинском районе». Достижение этой цели предполагает решение следующих задач: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детско-юношеского спорта (совершенствование подготовки спортивного резерва);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сохранение кадрового потенциала (спортивной школы).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Решение задачи «Оказание муниципальных услуг по предоставлению дополнительного образования в сфере физической культуры и спорта (услуги спортивной школы)» осуществляется путём: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информирования населения о расположении спортивной школы, видах спорта, графике работы, набора в секции;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рекламы видов спорта.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«Развитие детско-юношеского спорта (совершенствование подготовки спортивного резерва)» осуществляется путём: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районных, областных, межрегиональных физкультурных и спортивных мероприятий на территории района;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обеспечения участия сборных команд и ведущих спортсменов спортивной школы района в областных, региональных, всероссийских физкультурных и спортивных мероприятиях;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обеспечения качественным спортивным инвентарём.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«Сохранение кадрового потенциала спортивной школы» осуществляется путём: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выплат педагогическим работникам;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выплат педагогическим работникам, имеющим высшую категорию;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предоставление возможности повышения квалификации;</w:t>
      </w:r>
    </w:p>
    <w:p w:rsidR="007201E3" w:rsidRDefault="007201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присвоение категорий по итогам прохождения курсов повышения квалификации и результатов работы.</w:t>
      </w:r>
    </w:p>
    <w:p w:rsidR="007201E3" w:rsidRDefault="007201E3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Основные меры правового регулирования в сфере реализации</w:t>
      </w:r>
    </w:p>
    <w:p w:rsidR="007201E3" w:rsidRDefault="007201E3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Муниципальной программы</w:t>
      </w:r>
    </w:p>
    <w:p w:rsidR="007201E3" w:rsidRDefault="007201E3">
      <w:pPr>
        <w:pStyle w:val="a3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настоящее время сформирована и утверждена нормативная правовая база, необходимая для реализации Муниципальной программы. В дальнейшем разработка дополнительных нормативных правовых актов будет обусловлена изменениями законодательства Российской Федерации, Кировской области и муниципальных правовых актов.</w:t>
      </w:r>
    </w:p>
    <w:p w:rsidR="007201E3" w:rsidRDefault="007201E3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7201E3" w:rsidRDefault="007201E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7201E3" w:rsidRDefault="007201E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2014-2016 годах составляет 2518,7 тыс. рублей, в том числе за счет средств: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 ;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бюджета муниципального образования 2488,7 тыс. рублей;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30,0 тыс. рублей.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7201E3" w:rsidRDefault="007201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7201E3" w:rsidRDefault="007201E3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Анализ рисков реализации Муниципальной программы </w:t>
      </w:r>
    </w:p>
    <w:p w:rsidR="007201E3" w:rsidRDefault="007201E3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 описание мер управления рисками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достижения целей и конечных результатов Муниципальной программы отделом социальных отношений администрации Тужинского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рискам реализации Муниципальной программы можно отнести следующие: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объёме.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7201E3" w:rsidRDefault="007201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6.2. Риск финансового обеспечения, который связан с финансированием Муниципальной программы в неполном объёме как за счет бюджетных, так и за счет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бюджетов. а также меры по созданию условий для привлечения средств внебюджетных источников.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</w:t>
      </w:r>
      <w:r>
        <w:rPr>
          <w:rFonts w:ascii="Times New Roman" w:hAnsi="Times New Roman"/>
          <w:sz w:val="28"/>
          <w:szCs w:val="24"/>
        </w:rPr>
        <w:lastRenderedPageBreak/>
        <w:t>что позволит обеспечить выполнение обязательств каждого участника мероприятий.</w:t>
      </w:r>
    </w:p>
    <w:p w:rsidR="007201E3" w:rsidRDefault="007201E3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Методика оценки эффективности реализации </w:t>
      </w:r>
    </w:p>
    <w:p w:rsidR="007201E3" w:rsidRDefault="007201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  программы</w:t>
      </w:r>
    </w:p>
    <w:p w:rsidR="007201E3" w:rsidRDefault="007201E3">
      <w:pPr>
        <w:pStyle w:val="ConsPlusNormal"/>
        <w:ind w:firstLine="540"/>
        <w:jc w:val="both"/>
        <w:rPr>
          <w:sz w:val="28"/>
        </w:rPr>
      </w:pPr>
    </w:p>
    <w:p w:rsidR="007201E3" w:rsidRDefault="007201E3">
      <w:pPr>
        <w:pStyle w:val="2"/>
      </w:pPr>
      <w: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а также с учетом объема ресурсов, направленных на реализацию Муниципальной программы.</w:t>
      </w:r>
    </w:p>
    <w:p w:rsidR="007201E3" w:rsidRDefault="007201E3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формуле:</w:t>
      </w:r>
    </w:p>
    <w:p w:rsidR="007201E3" w:rsidRDefault="00CF1BD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эф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n</m:t>
              </m:r>
            </m:den>
          </m:f>
        </m:oMath>
      </m:oMathPara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где: П</w:t>
      </w:r>
      <w:r>
        <w:rPr>
          <w:rFonts w:ascii="Times New Roman" w:hAnsi="Times New Roman" w:cs="Times New Roman"/>
          <w:sz w:val="28"/>
          <w:szCs w:val="24"/>
          <w:vertAlign w:val="subscript"/>
        </w:rPr>
        <w:t>эф</w:t>
      </w:r>
      <w:r>
        <w:rPr>
          <w:rFonts w:ascii="Times New Roman" w:hAnsi="Times New Roman" w:cs="Times New Roman"/>
          <w:sz w:val="28"/>
          <w:szCs w:val="24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- степень  достижения i-го  показателя  эффективности  реализации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Муниципальной  программы (в долях единицы);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 - количество показателей эффективности реализации Муниципальной программы.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показателей, желаемой тенденцией развития которых является рост значений:</w:t>
      </w:r>
    </w:p>
    <w:p w:rsidR="007201E3" w:rsidRDefault="00CF1BD5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показателей, желаемой тенденцией развития которых является снижение значений:</w:t>
      </w:r>
    </w:p>
    <w:p w:rsidR="007201E3" w:rsidRDefault="00CF1BD5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где: П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- степень  достижения  i-го  показателя  эффективности  реализации Муниципальной программы (в долях единицы);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>
        <w:rPr>
          <w:rFonts w:ascii="Times New Roman" w:hAnsi="Times New Roman" w:cs="Times New Roman"/>
          <w:sz w:val="28"/>
          <w:szCs w:val="24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- фактическое  значение  i-го показателя эффективности реализации Муниципальной программы (в соответствующих единицах измерения);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  <w:vertAlign w:val="subscript"/>
        </w:rPr>
        <w:t>ф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- плановое  значение  i-го  показателя  эффективности реализации Муниципальной программы (в соответствующих единицах измерения).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случае,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7201E3" w:rsidRDefault="00CF1BD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Ф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коэф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Ф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</m:sub>
              </m:sSub>
            </m:den>
          </m:f>
        </m:oMath>
      </m:oMathPara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где: Ф</w:t>
      </w:r>
      <w:r>
        <w:rPr>
          <w:rFonts w:ascii="Times New Roman" w:hAnsi="Times New Roman" w:cs="Times New Roman"/>
          <w:sz w:val="28"/>
          <w:szCs w:val="24"/>
          <w:vertAlign w:val="subscript"/>
        </w:rPr>
        <w:t>коэф</w:t>
      </w:r>
      <w:r>
        <w:rPr>
          <w:rFonts w:ascii="Times New Roman" w:hAnsi="Times New Roman" w:cs="Times New Roman"/>
          <w:sz w:val="28"/>
          <w:szCs w:val="24"/>
        </w:rPr>
        <w:t xml:space="preserve"> - оценка объема ресурсов, направленных на реализацию Муниципальной программы в целом (в долях единицы);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  <w:vertAlign w:val="subscript"/>
        </w:rPr>
        <w:t>ф</w:t>
      </w:r>
      <w:r>
        <w:rPr>
          <w:rFonts w:ascii="Times New Roman" w:hAnsi="Times New Roman" w:cs="Times New Roman"/>
          <w:sz w:val="28"/>
          <w:szCs w:val="24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4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эффективности реализации Муниципальной программы рассчитывается по формуле:</w:t>
      </w:r>
    </w:p>
    <w:p w:rsidR="007201E3" w:rsidRDefault="00CF1BD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Э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пр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коэф</m:t>
                  </m:r>
                </m:sub>
              </m:sSub>
            </m:den>
          </m:f>
        </m:oMath>
      </m:oMathPara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где: Э</w:t>
      </w:r>
      <w:r>
        <w:rPr>
          <w:rFonts w:ascii="Times New Roman" w:hAnsi="Times New Roman" w:cs="Times New Roman"/>
          <w:sz w:val="28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4"/>
        </w:rPr>
        <w:t xml:space="preserve"> - оценка эффективности реализации Муниципальной программы (в долях единицы);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  <w:vertAlign w:val="subscript"/>
        </w:rPr>
        <w:t>эф</w:t>
      </w:r>
      <w:r>
        <w:rPr>
          <w:rFonts w:ascii="Times New Roman" w:hAnsi="Times New Roman" w:cs="Times New Roman"/>
          <w:sz w:val="28"/>
          <w:szCs w:val="24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  <w:vertAlign w:val="subscript"/>
        </w:rPr>
        <w:t>коэф</w:t>
      </w:r>
      <w:r>
        <w:rPr>
          <w:rFonts w:ascii="Times New Roman" w:hAnsi="Times New Roman" w:cs="Times New Roman"/>
          <w:sz w:val="28"/>
          <w:szCs w:val="24"/>
        </w:rPr>
        <w:t xml:space="preserve"> - уровень финансирования Муниципальной программы в целом (в долях единицы).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целях оценки эффективности реализации Муниципальной программы устанавливаются следующие критерии: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 значение  показателя Э</w:t>
      </w:r>
      <w:r>
        <w:rPr>
          <w:rFonts w:ascii="Times New Roman" w:hAnsi="Times New Roman" w:cs="Times New Roman"/>
          <w:sz w:val="28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4"/>
        </w:rPr>
        <w:t xml:space="preserve"> от 0,8 до 1,0 и выше, то эффективность реализации Муниципальной программы оценивается как высокая;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4"/>
        </w:rPr>
        <w:t xml:space="preserve"> от 0,7 до 0,8, то такая эффективность </w:t>
      </w:r>
      <w:r>
        <w:rPr>
          <w:rFonts w:ascii="Times New Roman" w:hAnsi="Times New Roman" w:cs="Times New Roman"/>
          <w:sz w:val="28"/>
          <w:szCs w:val="24"/>
        </w:rPr>
        <w:lastRenderedPageBreak/>
        <w:t>реализации Муниципальной программы оценивается как средняя;</w:t>
      </w:r>
    </w:p>
    <w:p w:rsidR="007201E3" w:rsidRDefault="0072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4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4"/>
        </w:rPr>
        <w:t xml:space="preserve"> ниже 0,7, то такая эффективность реализации Муниципальной программы оценивается как низкая.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Ожидаемый бюджетный эффект от реализации Муниципальной программы выражается в повышении эффективности расходования бюджетных средств за счет сокращения неэффективных расходов.</w:t>
      </w:r>
    </w:p>
    <w:p w:rsidR="007201E3" w:rsidRDefault="007201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7201E3" w:rsidRDefault="007201E3">
      <w:pPr>
        <w:pStyle w:val="2"/>
        <w:widowControl w:val="0"/>
        <w:autoSpaceDE w:val="0"/>
        <w:autoSpaceDN w:val="0"/>
        <w:adjustRightInd w:val="0"/>
      </w:pPr>
      <w:r>
        <w:t>Ежегодно ответственным исполнителем осуществляется оценка эффективности реализации Муниципальной программы, и в срок до 1 марта года, следующего за отчетным, годовой отчет о ходе реализации и оценке эффективности реализации Муниципальной программы представляется в отдел по экономике и прогнозированию, финансовое управление.</w:t>
      </w:r>
    </w:p>
    <w:p w:rsidR="007201E3" w:rsidRDefault="007201E3"/>
    <w:p w:rsidR="007201E3" w:rsidRDefault="007201E3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sz w:val="28"/>
          <w:szCs w:val="24"/>
        </w:rPr>
        <w:sectPr w:rsidR="00720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1E3" w:rsidRDefault="007201E3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1 к Муниципальной программе</w:t>
      </w:r>
      <w:r>
        <w:rPr>
          <w:rFonts w:ascii="Times New Roman" w:hAnsi="Times New Roman"/>
          <w:sz w:val="28"/>
          <w:szCs w:val="24"/>
        </w:rPr>
        <w:tab/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Сведения о целевых показателях эффективности реализации Муниципальной программы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7334"/>
        <w:gridCol w:w="1896"/>
        <w:gridCol w:w="1554"/>
        <w:gridCol w:w="1554"/>
        <w:gridCol w:w="1349"/>
      </w:tblGrid>
      <w:tr w:rsidR="007201E3">
        <w:trPr>
          <w:cantSplit/>
        </w:trPr>
        <w:tc>
          <w:tcPr>
            <w:tcW w:w="817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7371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эффективности Программы</w:t>
            </w:r>
          </w:p>
        </w:tc>
        <w:tc>
          <w:tcPr>
            <w:tcW w:w="1843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4471" w:type="dxa"/>
            <w:gridSpan w:val="3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</w:t>
            </w:r>
          </w:p>
        </w:tc>
      </w:tr>
      <w:tr w:rsidR="007201E3">
        <w:trPr>
          <w:cantSplit/>
        </w:trPr>
        <w:tc>
          <w:tcPr>
            <w:tcW w:w="817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спортивными залами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тыс.кв.метров на 10 тыс. человек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3,32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плоскостными сооружениями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тыс.кв.метров на 10 тыс. человек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76,3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76,4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26,0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26,5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201E3">
        <w:tc>
          <w:tcPr>
            <w:tcW w:w="81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371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84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559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35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</w:tr>
    </w:tbl>
    <w:p w:rsidR="007201E3" w:rsidRDefault="007201E3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2 к Муниципальной программе</w:t>
      </w:r>
      <w:r>
        <w:rPr>
          <w:rFonts w:ascii="Times New Roman" w:hAnsi="Times New Roman"/>
          <w:sz w:val="28"/>
          <w:szCs w:val="24"/>
        </w:rPr>
        <w:tab/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Перечень мероприятий Муниципальной программы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«Развитие физической культуры и спорта» на 2014-2016 годы.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3077"/>
        <w:gridCol w:w="1533"/>
        <w:gridCol w:w="1398"/>
        <w:gridCol w:w="1397"/>
        <w:gridCol w:w="1530"/>
        <w:gridCol w:w="2219"/>
      </w:tblGrid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3077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4328" w:type="dxa"/>
            <w:gridSpan w:val="3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1530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  <w:vMerge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1530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c>
          <w:tcPr>
            <w:tcW w:w="14502" w:type="dxa"/>
            <w:gridSpan w:val="7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3. Реконструкция стадиона </w:t>
            </w:r>
            <w:r>
              <w:rPr>
                <w:rFonts w:ascii="Times New Roman" w:hAnsi="Times New Roman"/>
                <w:sz w:val="28"/>
              </w:rPr>
              <w:lastRenderedPageBreak/>
              <w:t>в пгт Тужа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*500,0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*500,0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*1000,0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*500,0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*500,0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c>
          <w:tcPr>
            <w:tcW w:w="14502" w:type="dxa"/>
            <w:gridSpan w:val="7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1. Проведение районных соревнований, районной </w:t>
            </w:r>
            <w:r>
              <w:rPr>
                <w:rFonts w:ascii="Times New Roman" w:hAnsi="Times New Roman"/>
                <w:sz w:val="28"/>
              </w:rPr>
              <w:lastRenderedPageBreak/>
              <w:t>спартакиады общеобразовательных учреждений, участие в районных и областных соревнованиях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Проведение спортивно-массовых мероприятий, спартакиад по месту жительства, участие в областных соревнованиях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ветеранов, участие в соревнованиях различного уровня 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5. 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Тужинского муниципального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615,0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c>
          <w:tcPr>
            <w:tcW w:w="14502" w:type="dxa"/>
            <w:gridSpan w:val="7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1. Реклама </w:t>
            </w:r>
            <w:r>
              <w:rPr>
                <w:rFonts w:ascii="Times New Roman" w:hAnsi="Times New Roman"/>
                <w:sz w:val="28"/>
              </w:rPr>
              <w:lastRenderedPageBreak/>
              <w:t>и организация пропаганды ЗОЖ в СМИ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социальных отношений администрации Тужинского муниципального района 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c>
          <w:tcPr>
            <w:tcW w:w="14502" w:type="dxa"/>
            <w:gridSpan w:val="7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c>
          <w:tcPr>
            <w:tcW w:w="14502" w:type="dxa"/>
            <w:gridSpan w:val="7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94,5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99,2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94,5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99,2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14502" w:type="dxa"/>
            <w:gridSpan w:val="7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7201E3">
        <w:trPr>
          <w:cantSplit/>
        </w:trPr>
        <w:tc>
          <w:tcPr>
            <w:tcW w:w="3348" w:type="dxa"/>
            <w:vMerge w:val="restart"/>
            <w:tcBorders>
              <w:top w:val="single" w:sz="4" w:space="0" w:color="auto"/>
            </w:tcBorders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  <w:tcBorders>
              <w:bottom w:val="single" w:sz="4" w:space="0" w:color="auto"/>
            </w:tcBorders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  <w:tcBorders>
              <w:top w:val="single" w:sz="4" w:space="0" w:color="auto"/>
            </w:tcBorders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ИТОГО по Программе</w:t>
            </w: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305,0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844,5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1339,2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2488,7</w:t>
            </w:r>
          </w:p>
        </w:tc>
        <w:tc>
          <w:tcPr>
            <w:tcW w:w="2219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01E3">
        <w:trPr>
          <w:cantSplit/>
        </w:trPr>
        <w:tc>
          <w:tcPr>
            <w:tcW w:w="3348" w:type="dxa"/>
            <w:vMerge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7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533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335,0</w:t>
            </w:r>
          </w:p>
        </w:tc>
        <w:tc>
          <w:tcPr>
            <w:tcW w:w="1398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844,5</w:t>
            </w:r>
          </w:p>
        </w:tc>
        <w:tc>
          <w:tcPr>
            <w:tcW w:w="1397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1339,2</w:t>
            </w:r>
          </w:p>
        </w:tc>
        <w:tc>
          <w:tcPr>
            <w:tcW w:w="1530" w:type="dxa"/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2518,7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7201E3" w:rsidRDefault="007201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3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*- при условии софинансирования из областного и федерального бюджетов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_______________________ </w:t>
      </w: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7201E3" w:rsidRDefault="007201E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7201E3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14691C"/>
    <w:rsid w:val="000B1268"/>
    <w:rsid w:val="0014691C"/>
    <w:rsid w:val="00167B93"/>
    <w:rsid w:val="001C6C32"/>
    <w:rsid w:val="00365955"/>
    <w:rsid w:val="00610CA4"/>
    <w:rsid w:val="0069688A"/>
    <w:rsid w:val="007201E3"/>
    <w:rsid w:val="00871F45"/>
    <w:rsid w:val="00CF1BD5"/>
    <w:rsid w:val="00F9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ind w:left="720"/>
      <w:contextualSpacing/>
    </w:pPr>
  </w:style>
  <w:style w:type="character" w:customStyle="1" w:styleId="a4">
    <w:name w:val=" Знак Знак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5">
    <w:name w:val="Balloon Text"/>
    <w:basedOn w:val="a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pPr>
      <w:widowControl w:val="0"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167B9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67B93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167B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admin</dc:creator>
  <cp:keywords/>
  <dc:description/>
  <cp:lastModifiedBy>Админ</cp:lastModifiedBy>
  <cp:revision>2</cp:revision>
  <cp:lastPrinted>2013-10-25T11:27:00Z</cp:lastPrinted>
  <dcterms:created xsi:type="dcterms:W3CDTF">2016-03-03T11:59:00Z</dcterms:created>
  <dcterms:modified xsi:type="dcterms:W3CDTF">2016-03-03T11:59:00Z</dcterms:modified>
</cp:coreProperties>
</file>